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A14" w:rsidRPr="00062990" w:rsidRDefault="00257A14" w:rsidP="007632F1">
      <w:pPr>
        <w:snapToGrid w:val="0"/>
        <w:jc w:val="center"/>
        <w:rPr>
          <w:rFonts w:ascii="Century Gothic" w:eastAsia="標楷體" w:hAnsi="Century Gothic"/>
          <w:b/>
          <w:sz w:val="32"/>
          <w:szCs w:val="32"/>
        </w:rPr>
      </w:pPr>
      <w:r w:rsidRPr="00062990">
        <w:rPr>
          <w:rFonts w:ascii="Century Gothic" w:eastAsia="標楷體" w:hAnsi="標楷體"/>
          <w:b/>
          <w:sz w:val="32"/>
          <w:szCs w:val="32"/>
        </w:rPr>
        <w:t>新北市學習障礙加</w:t>
      </w:r>
      <w:proofErr w:type="gramStart"/>
      <w:r w:rsidRPr="00062990">
        <w:rPr>
          <w:rFonts w:ascii="Century Gothic" w:eastAsia="標楷體" w:hAnsi="標楷體"/>
          <w:b/>
          <w:sz w:val="32"/>
          <w:szCs w:val="32"/>
        </w:rPr>
        <w:t>註</w:t>
      </w:r>
      <w:proofErr w:type="gramEnd"/>
      <w:r w:rsidRPr="00062990">
        <w:rPr>
          <w:rFonts w:ascii="Century Gothic" w:eastAsia="標楷體" w:hAnsi="標楷體"/>
          <w:b/>
          <w:sz w:val="32"/>
          <w:szCs w:val="32"/>
        </w:rPr>
        <w:t>亞型檢核表</w:t>
      </w:r>
    </w:p>
    <w:tbl>
      <w:tblPr>
        <w:tblStyle w:val="a3"/>
        <w:tblW w:w="10733" w:type="dxa"/>
        <w:tblLook w:val="04A0" w:firstRow="1" w:lastRow="0" w:firstColumn="1" w:lastColumn="0" w:noHBand="0" w:noVBand="1"/>
      </w:tblPr>
      <w:tblGrid>
        <w:gridCol w:w="436"/>
        <w:gridCol w:w="552"/>
        <w:gridCol w:w="4394"/>
        <w:gridCol w:w="425"/>
        <w:gridCol w:w="1032"/>
        <w:gridCol w:w="3894"/>
      </w:tblGrid>
      <w:tr w:rsidR="00062990" w:rsidRPr="0061229A" w:rsidTr="0061229A">
        <w:trPr>
          <w:trHeight w:val="397"/>
        </w:trPr>
        <w:tc>
          <w:tcPr>
            <w:tcW w:w="10733" w:type="dxa"/>
            <w:gridSpan w:val="6"/>
            <w:shd w:val="clear" w:color="auto" w:fill="92CDDC" w:themeFill="accent5" w:themeFillTint="99"/>
            <w:vAlign w:val="center"/>
          </w:tcPr>
          <w:p w:rsidR="007545F0" w:rsidRPr="0061229A" w:rsidRDefault="007545F0" w:rsidP="00257A14">
            <w:pPr>
              <w:spacing w:line="240" w:lineRule="exact"/>
              <w:rPr>
                <w:rFonts w:ascii="Century Gothic" w:eastAsia="標楷體" w:hAnsi="Century Gothic"/>
                <w:b/>
                <w:szCs w:val="24"/>
              </w:rPr>
            </w:pPr>
            <w:r w:rsidRPr="0061229A">
              <w:rPr>
                <w:rFonts w:ascii="Century Gothic" w:eastAsia="標楷體" w:hAnsi="標楷體"/>
                <w:b/>
                <w:szCs w:val="24"/>
              </w:rPr>
              <w:t>一、學生基本資料</w:t>
            </w:r>
          </w:p>
        </w:tc>
      </w:tr>
      <w:tr w:rsidR="00062990" w:rsidRPr="00062990" w:rsidTr="0061229A">
        <w:trPr>
          <w:trHeight w:val="488"/>
        </w:trPr>
        <w:tc>
          <w:tcPr>
            <w:tcW w:w="988" w:type="dxa"/>
            <w:gridSpan w:val="2"/>
            <w:shd w:val="clear" w:color="auto" w:fill="DAEEF3" w:themeFill="accent5" w:themeFillTint="33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  <w:r w:rsidRPr="00062990">
              <w:rPr>
                <w:rFonts w:ascii="Century Gothic" w:eastAsia="標楷體" w:hAnsi="標楷體"/>
                <w:sz w:val="22"/>
              </w:rPr>
              <w:t>學校</w:t>
            </w:r>
          </w:p>
        </w:tc>
        <w:tc>
          <w:tcPr>
            <w:tcW w:w="4394" w:type="dxa"/>
            <w:vAlign w:val="center"/>
          </w:tcPr>
          <w:p w:rsidR="005D2E84" w:rsidRPr="00062990" w:rsidRDefault="005D2E84" w:rsidP="00257A14">
            <w:pPr>
              <w:spacing w:line="240" w:lineRule="exact"/>
              <w:ind w:right="560"/>
              <w:jc w:val="right"/>
              <w:rPr>
                <w:rFonts w:ascii="Century Gothic" w:eastAsia="標楷體" w:hAnsi="Century Gothic"/>
                <w:sz w:val="22"/>
              </w:rPr>
            </w:pPr>
          </w:p>
        </w:tc>
        <w:tc>
          <w:tcPr>
            <w:tcW w:w="1457" w:type="dxa"/>
            <w:gridSpan w:val="2"/>
            <w:shd w:val="clear" w:color="auto" w:fill="DAEEF3" w:themeFill="accent5" w:themeFillTint="33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  <w:r w:rsidRPr="00062990">
              <w:rPr>
                <w:rFonts w:ascii="Century Gothic" w:eastAsia="標楷體" w:hAnsi="標楷體"/>
                <w:sz w:val="22"/>
              </w:rPr>
              <w:t>學生姓名</w:t>
            </w:r>
          </w:p>
        </w:tc>
        <w:tc>
          <w:tcPr>
            <w:tcW w:w="3894" w:type="dxa"/>
            <w:vAlign w:val="center"/>
          </w:tcPr>
          <w:p w:rsidR="005D2E84" w:rsidRPr="00062990" w:rsidRDefault="005D2E84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22"/>
              </w:rPr>
            </w:pPr>
          </w:p>
        </w:tc>
      </w:tr>
      <w:tr w:rsidR="00062990" w:rsidRPr="0061229A" w:rsidTr="0061229A">
        <w:trPr>
          <w:trHeight w:val="454"/>
        </w:trPr>
        <w:tc>
          <w:tcPr>
            <w:tcW w:w="10733" w:type="dxa"/>
            <w:gridSpan w:val="6"/>
            <w:shd w:val="clear" w:color="auto" w:fill="92CDDC" w:themeFill="accent5" w:themeFillTint="99"/>
            <w:vAlign w:val="center"/>
          </w:tcPr>
          <w:p w:rsidR="007545F0" w:rsidRPr="0061229A" w:rsidRDefault="007545F0" w:rsidP="004D2EAF">
            <w:pPr>
              <w:spacing w:line="240" w:lineRule="exact"/>
              <w:rPr>
                <w:rFonts w:ascii="Century Gothic" w:eastAsia="標楷體" w:hAnsi="Century Gothic"/>
                <w:b/>
                <w:szCs w:val="24"/>
              </w:rPr>
            </w:pPr>
            <w:r w:rsidRPr="0061229A">
              <w:rPr>
                <w:rFonts w:ascii="Century Gothic" w:eastAsia="標楷體" w:hAnsi="標楷體"/>
                <w:b/>
                <w:szCs w:val="24"/>
              </w:rPr>
              <w:t>二</w:t>
            </w:r>
            <w:r w:rsidR="007632F1"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、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加</w:t>
            </w:r>
            <w:proofErr w:type="gramStart"/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註</w:t>
            </w:r>
            <w:proofErr w:type="gramEnd"/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的亞型項目、</w:t>
            </w:r>
            <w:r w:rsidR="007632F1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行為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特徵及</w:t>
            </w:r>
            <w:r w:rsidR="004D2EAF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可</w:t>
            </w:r>
            <w:r w:rsidR="007632F1" w:rsidRPr="0061229A">
              <w:rPr>
                <w:rFonts w:ascii="Century Gothic" w:eastAsia="標楷體" w:hAnsi="標楷體" w:hint="eastAsia"/>
                <w:b/>
                <w:szCs w:val="24"/>
                <w:shd w:val="clear" w:color="auto" w:fill="92CDDC" w:themeFill="accent5" w:themeFillTint="99"/>
              </w:rPr>
              <w:t>收集之佐證</w:t>
            </w:r>
            <w:r w:rsidRPr="0061229A">
              <w:rPr>
                <w:rFonts w:ascii="Century Gothic" w:eastAsia="標楷體" w:hAnsi="標楷體"/>
                <w:b/>
                <w:szCs w:val="24"/>
                <w:shd w:val="clear" w:color="auto" w:fill="92CDDC" w:themeFill="accent5" w:themeFillTint="99"/>
              </w:rPr>
              <w:t>資料</w:t>
            </w:r>
          </w:p>
        </w:tc>
      </w:tr>
      <w:tr w:rsidR="00062990" w:rsidRPr="00062990" w:rsidTr="00FD4FFF">
        <w:trPr>
          <w:trHeight w:val="472"/>
        </w:trPr>
        <w:tc>
          <w:tcPr>
            <w:tcW w:w="436" w:type="dxa"/>
            <w:shd w:val="clear" w:color="auto" w:fill="DAEEF3" w:themeFill="accent5" w:themeFillTint="33"/>
            <w:vAlign w:val="center"/>
          </w:tcPr>
          <w:p w:rsidR="007545F0" w:rsidRPr="00062990" w:rsidRDefault="007545F0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項目</w:t>
            </w:r>
          </w:p>
        </w:tc>
        <w:tc>
          <w:tcPr>
            <w:tcW w:w="5371" w:type="dxa"/>
            <w:gridSpan w:val="3"/>
            <w:shd w:val="clear" w:color="auto" w:fill="DAEEF3" w:themeFill="accent5" w:themeFillTint="33"/>
            <w:vAlign w:val="center"/>
          </w:tcPr>
          <w:p w:rsidR="007545F0" w:rsidRPr="00062990" w:rsidRDefault="007632F1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行為</w:t>
            </w:r>
            <w:r w:rsidR="007545F0" w:rsidRPr="00062990">
              <w:rPr>
                <w:rFonts w:ascii="Century Gothic" w:eastAsia="標楷體" w:hAnsi="標楷體"/>
                <w:sz w:val="18"/>
                <w:szCs w:val="18"/>
              </w:rPr>
              <w:t>特徵</w:t>
            </w:r>
          </w:p>
        </w:tc>
        <w:tc>
          <w:tcPr>
            <w:tcW w:w="4926" w:type="dxa"/>
            <w:gridSpan w:val="2"/>
            <w:shd w:val="clear" w:color="auto" w:fill="DAEEF3" w:themeFill="accent5" w:themeFillTint="33"/>
            <w:vAlign w:val="center"/>
          </w:tcPr>
          <w:p w:rsidR="007545F0" w:rsidRPr="00062990" w:rsidRDefault="007632F1" w:rsidP="00257A14">
            <w:pPr>
              <w:spacing w:line="240" w:lineRule="exact"/>
              <w:jc w:val="center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可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收集之佐證</w:t>
            </w:r>
            <w:r w:rsidR="007545F0" w:rsidRPr="00062990">
              <w:rPr>
                <w:rFonts w:ascii="Century Gothic" w:eastAsia="標楷體" w:hAnsi="標楷體"/>
                <w:sz w:val="18"/>
                <w:szCs w:val="18"/>
              </w:rPr>
              <w:t>資料</w:t>
            </w:r>
          </w:p>
        </w:tc>
      </w:tr>
      <w:tr w:rsidR="00062990" w:rsidRPr="00062990" w:rsidTr="00FD4FFF">
        <w:trPr>
          <w:trHeight w:val="2324"/>
        </w:trPr>
        <w:tc>
          <w:tcPr>
            <w:tcW w:w="436" w:type="dxa"/>
            <w:vAlign w:val="center"/>
          </w:tcPr>
          <w:p w:rsidR="00267413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Pr="007C0E73">
              <w:rPr>
                <w:rFonts w:ascii="Century Gothic" w:eastAsia="標楷體" w:hAnsi="Century Gothic" w:hint="eastAsia"/>
                <w:sz w:val="18"/>
                <w:szCs w:val="18"/>
              </w:rPr>
              <w:t>口語理解與表達</w:t>
            </w:r>
          </w:p>
        </w:tc>
        <w:tc>
          <w:tcPr>
            <w:tcW w:w="5371" w:type="dxa"/>
            <w:gridSpan w:val="3"/>
          </w:tcPr>
          <w:p w:rsidR="00267413" w:rsidRPr="00062990" w:rsidRDefault="00267413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聽到指令後無法正確反應。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常常答非所問、雞同鴨講。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日常生活中的語言表達極少，表達的句子不完整，或是很短。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可聽懂故事內容，但是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自己說不出來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或說不完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整、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說不流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暢（如無連接詞、只有片段語詞）。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年級越高越容易在閱讀理解及寫作出現明顯困難。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</w:t>
            </w:r>
          </w:p>
        </w:tc>
        <w:tc>
          <w:tcPr>
            <w:tcW w:w="4926" w:type="dxa"/>
            <w:gridSpan w:val="2"/>
          </w:tcPr>
          <w:p w:rsidR="00267413" w:rsidRPr="00062990" w:rsidRDefault="00267413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口語理解或表達困難的資料，如聽覺理解與口語表達日常生活表現、口語語料（包括結構性以及主題式）、說話狀況（學校、家裡、補習班等）、早期發展情形、早療介入歷史（文件，職能、物理、語言等各類治療師針對學生的服務紀錄）等。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正式評量：圖畫式聽覺理解測驗、聽覺理解測驗、修訂學齡兒童語言障礙評量表、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修訂畢保德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圖畫詞彙測驗等。</w:t>
            </w:r>
          </w:p>
        </w:tc>
      </w:tr>
      <w:tr w:rsidR="00062990" w:rsidRPr="00062990" w:rsidTr="00FD4FFF">
        <w:trPr>
          <w:trHeight w:val="2835"/>
        </w:trPr>
        <w:tc>
          <w:tcPr>
            <w:tcW w:w="436" w:type="dxa"/>
            <w:vAlign w:val="center"/>
          </w:tcPr>
          <w:p w:rsidR="00267413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267413" w:rsidRPr="007C0E73">
              <w:rPr>
                <w:rFonts w:ascii="Century Gothic" w:eastAsia="標楷體" w:hAnsi="標楷體"/>
                <w:sz w:val="18"/>
                <w:szCs w:val="18"/>
              </w:rPr>
              <w:t>識字</w:t>
            </w:r>
          </w:p>
        </w:tc>
        <w:tc>
          <w:tcPr>
            <w:tcW w:w="5371" w:type="dxa"/>
            <w:gridSpan w:val="3"/>
          </w:tcPr>
          <w:p w:rsidR="00267413" w:rsidRPr="00062990" w:rsidRDefault="00267413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低年級時，</w:t>
            </w:r>
            <w:proofErr w:type="gramStart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注音符號認讀</w:t>
            </w:r>
            <w:proofErr w:type="gramEnd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、注音符號拼音困難，或是很難學會。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教過的字，隔天馬上忘記。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嚴重的識字問題，課本的字認識不了幾個，無法獨自閱讀文本。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唸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讀文章不順暢，容易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跳字或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念錯。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有些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年紀較大的學生可能會有自己的代償策略，有脈絡的文章可以大略讀出、以詞彙為單位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來認讀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，但在辨識沒脈絡的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單獨字仍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有嚴重困難。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有一半以上的課本文字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無法認讀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紙筆測驗時，報讀試卷內容的成績比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自行讀題的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成績好很多。</w:t>
            </w:r>
          </w:p>
          <w:p w:rsidR="00267413" w:rsidRPr="00062990" w:rsidRDefault="00267413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</w:t>
            </w:r>
          </w:p>
        </w:tc>
        <w:tc>
          <w:tcPr>
            <w:tcW w:w="4926" w:type="dxa"/>
            <w:gridSpan w:val="2"/>
          </w:tcPr>
          <w:p w:rsidR="00267413" w:rsidRPr="00062990" w:rsidRDefault="00267413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非正式的識字量及流暢性評量、報讀與不報讀的表現差異等、同年級還沒教過課文的朗讀正確率、每分鐘朗讀字數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、已批改過但未訂正之考卷樣本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。</w:t>
            </w:r>
          </w:p>
          <w:p w:rsidR="00267413" w:rsidRPr="00062990" w:rsidRDefault="00267413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中文年級認字量表、基本讀寫字綜合測驗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（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識字及寫字</w:t>
            </w:r>
            <w:r w:rsidRPr="00062990">
              <w:rPr>
                <w:rFonts w:ascii="Century Gothic" w:eastAsia="標楷體" w:hAnsi="Century Gothic"/>
                <w:sz w:val="18"/>
                <w:szCs w:val="18"/>
              </w:rPr>
              <w:t>)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、識字量評估測驗、常見字流暢性測驗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、國民小學閱讀理解篩選測驗或閱讀理解相關測驗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等。</w:t>
            </w:r>
          </w:p>
        </w:tc>
      </w:tr>
      <w:tr w:rsidR="00062990" w:rsidRPr="00062990" w:rsidTr="00FD4FFF">
        <w:trPr>
          <w:trHeight w:val="3035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書寫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抄寫、聽寫有困難。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書寫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像畫圖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，無筆順的概念。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書寫速度慢，作業及</w:t>
            </w:r>
            <w:proofErr w:type="gramStart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考卷常寫不</w:t>
            </w:r>
            <w:proofErr w:type="gramEnd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完。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字體歪斜，字跡辨識困難。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字體空間結構分布不佳或左右顛倒等。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識字量及流暢性沒問題，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能抄寫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、</w:t>
            </w:r>
            <w:proofErr w:type="gramStart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仿寫</w:t>
            </w:r>
            <w:proofErr w:type="gramEnd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、字跡可辨識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，但聽寫</w:t>
            </w: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及自發性提取寫字嚴重困難，容易錯字連篇、增減筆劃、替代字，或是字寫不出來。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能顯示個案困難的資料，如各種呈現書寫表現且未訂正的資料，如：各科測驗型試卷、習作、作文、聽寫、聯絡簿、作業等未訂正之樣本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；國高中階段可提供</w:t>
            </w:r>
            <w:proofErr w:type="gramStart"/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週</w:t>
            </w:r>
            <w:proofErr w:type="gramEnd"/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記、作文等自發性書寫樣本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口語、電腦打字和手寫等不同產出方式在造句、段落及作文樣本的差異。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握筆能力的呈現，如數學科等非文字的考卷、握筆姿勢與書寫立成的照片或影片。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各科收集有時限及無時限作答的考試成績差異。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 xml:space="preserve"> 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基本讀寫字綜合測驗（看注音寫國字、聽寫、遠端抄寫）、能說明有知覺動作困難之職能評估等。</w:t>
            </w:r>
          </w:p>
        </w:tc>
      </w:tr>
      <w:tr w:rsidR="00062990" w:rsidRPr="00062990" w:rsidTr="00FD4FFF">
        <w:trPr>
          <w:trHeight w:val="3798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閱讀理解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Century Gothic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※需排除識字能力對閱讀的影響。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※智力正常，且閱讀理解表現遠低於智力水準。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閱讀速度緩慢不流暢，閱讀時容易停頓，在不該斷句的地方斷句。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讀完文章後找不出重點。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可以回答文本中字面簡單的訊息，但在推論訊息、確認主題或跨段落訊息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統整有困難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詞彙理解能力很差，對抽象詞彙、成語的理解及應用能力弱。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寫作困難，把句子組成段落篇章困難。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讀數學文字題有嚴重困難。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能理解口語表達的意思，但閱讀書面內容出現理解困難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識字能力需與同儕相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彷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無法回答文章中有答案的問題。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困難的資料，如：口語理解與閱讀理解能力的差異、閱讀速度及流暢度的描述及記錄、已批改過但未訂正之各科各測驗題型考卷、透過直接教學、觀察，分析學生在不同層次之閱讀理解問題上的實際表現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如懷疑是識字正確性及流暢性造成，可收集閱讀書面文字（如閱讀理解測驗、定期考查、平時測驗）時，有報讀及沒有報讀其內容的表現差異。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</w:t>
            </w:r>
            <w:bookmarkStart w:id="0" w:name="_GoBack"/>
            <w:bookmarkEnd w:id="0"/>
            <w:r w:rsidRPr="00062990">
              <w:rPr>
                <w:rFonts w:ascii="Century Gothic" w:eastAsia="標楷體" w:hAnsi="標楷體"/>
                <w:sz w:val="18"/>
                <w:szCs w:val="18"/>
              </w:rPr>
              <w:t>量：</w:t>
            </w:r>
            <w:r w:rsidR="00CE3F80" w:rsidRPr="00960F73">
              <w:rPr>
                <w:rFonts w:ascii="Century Gothic" w:eastAsia="標楷體" w:hAnsi="標楷體" w:hint="eastAsia"/>
                <w:sz w:val="18"/>
                <w:szCs w:val="18"/>
              </w:rPr>
              <w:t>中文閱讀</w:t>
            </w:r>
            <w:r w:rsidR="00CE3F80" w:rsidRPr="00A46C32">
              <w:rPr>
                <w:rFonts w:ascii="Century Gothic" w:eastAsia="標楷體" w:hAnsi="標楷體" w:hint="eastAsia"/>
                <w:sz w:val="18"/>
                <w:szCs w:val="18"/>
              </w:rPr>
              <w:t>能力適性診斷評量（</w:t>
            </w:r>
            <w:r w:rsidR="00CE3F80" w:rsidRPr="00A46C32">
              <w:rPr>
                <w:rFonts w:ascii="Century Gothic" w:eastAsia="標楷體" w:hAnsi="標楷體"/>
                <w:sz w:val="18"/>
                <w:szCs w:val="18"/>
              </w:rPr>
              <w:t>DACC</w:t>
            </w:r>
            <w:r w:rsidR="00CE3F80" w:rsidRPr="00A46C32">
              <w:rPr>
                <w:rFonts w:ascii="Century Gothic" w:eastAsia="標楷體" w:hAnsi="標楷體" w:hint="eastAsia"/>
                <w:sz w:val="18"/>
                <w:szCs w:val="18"/>
              </w:rPr>
              <w:t>）、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2019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閱讀理解測驗、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國民小學閱讀理解篩選測驗、國民中學閱讀理解推理測驗、圖畫式聽覺理解測驗、聽覺理解測驗、修訂學齡兒童語言障礙評量表、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修訂畢保德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圖畫詞彙測驗等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識字困難相關測驗可於懷疑是識字問題影響閱讀理解時使用。</w:t>
            </w:r>
          </w:p>
        </w:tc>
      </w:tr>
      <w:tr w:rsidR="00062990" w:rsidRPr="00062990" w:rsidTr="00FD4FFF">
        <w:trPr>
          <w:trHeight w:val="5312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□</w:t>
            </w:r>
            <w:r w:rsidR="0082470D" w:rsidRPr="007C0E73">
              <w:rPr>
                <w:rFonts w:ascii="Century Gothic" w:eastAsia="標楷體" w:hAnsi="標楷體"/>
                <w:sz w:val="18"/>
                <w:szCs w:val="18"/>
              </w:rPr>
              <w:t>數學</w:t>
            </w:r>
            <w:r w:rsidR="0082470D" w:rsidRPr="007C0E73">
              <w:rPr>
                <w:rFonts w:ascii="Century Gothic" w:eastAsia="標楷體" w:hAnsi="標楷體" w:hint="eastAsia"/>
                <w:sz w:val="18"/>
                <w:szCs w:val="18"/>
              </w:rPr>
              <w:t>運算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※需排除因理解應用問題文字困難造成的影響。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高階功能的數學理解、幾何或是數學成就</w:t>
            </w: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表現遠低於智力水準。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proofErr w:type="gramStart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缺乏數感</w:t>
            </w:r>
            <w:proofErr w:type="gramEnd"/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、量感，對於數字大小判斷、簡單的計算、一般事件做簡單的數量估計等有困難。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了解或表達數學常用符號及概念、數學語言、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數感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、量感、數字大小判斷、簡單的計算、簡單的數量估計等出現困難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如使用加減法的時機、了解簡易幾何概念、空間概念等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計算時需靠手指協助。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基本加減計算皆有困難。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運算速度過慢。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平常生活中與數學有關的應用沒問題，但轉換成紙筆數學算式運算就有困難。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如：可使用錢幣付錢、找錢，但轉成應用題計算就出現困難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簡單幾何、空間概念或數學符號等學習表現困難。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中、高年級以上者，基本加減運算仍有明顯困難。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(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如計算時需靠手指協助、運算速度過慢等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)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能顯示個案數學計算及理解困難的資料，如：數學習作或測驗、運算策略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（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如：使用手指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點算輔助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）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、運算速度、心理運算歷程及教學後成效分析等。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中年級以上學生，可說明是否能達成國小中年級（含）數學</w:t>
            </w:r>
            <w:proofErr w:type="gramStart"/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領域課綱的</w:t>
            </w:r>
            <w:proofErr w:type="gramEnd"/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能力指標。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正式評量：基礎數學計算評量、基礎數學核心能力測驗等。</w:t>
            </w:r>
          </w:p>
        </w:tc>
      </w:tr>
      <w:tr w:rsidR="00062990" w:rsidRPr="00062990" w:rsidTr="00FD4FFF">
        <w:trPr>
          <w:trHeight w:val="412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Century Gothic" w:hint="eastAsia"/>
                <w:sz w:val="18"/>
                <w:szCs w:val="18"/>
              </w:rPr>
              <w:t>注意力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spacing w:beforeLines="15" w:before="54"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※需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具有醫療診斷或標準化注意力測驗</w:t>
            </w: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。</w:t>
            </w:r>
          </w:p>
          <w:p w:rsidR="0082470D" w:rsidRPr="00062990" w:rsidRDefault="0082470D" w:rsidP="0082470D">
            <w:pPr>
              <w:spacing w:line="260" w:lineRule="exact"/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  <w:shd w:val="pct15" w:color="auto" w:fill="FFFFFF"/>
              </w:rPr>
              <w:t>※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  <w:shd w:val="pct15" w:color="auto" w:fill="FFFFFF"/>
              </w:rPr>
              <w:t>有用藥歷史，需記錄服用藥物狀況、期程、反應與用藥後學習表現差異。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常粗心大意，不注意細節。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上課時無法持續注意力，持續的時間很短。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常發呆、做自己的事情等。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在有時間限制的考試或作業上表現不佳。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常忘了帶東西到學校。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座位或生活所需物品常雜亂無序地擺放，經指導後仍無有效改善。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作業草率、品質不佳，要人提醒才能完成。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逃避或排斥須專心的工作，如寫作業。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常被提醒做每天要做的事。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學習表現不穩定，偶會有不錯的表現，但無法持久穩定。</w:t>
            </w: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表現差異極大，時好時壞。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團測的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表現比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個測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差；個別或小組教學的學習成果明顯較好。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能顯示個案注意力困難的資料，如注意力影響到聽、說、讀、寫、算的具體生活描述；以分段時間方式考試，觀察注意力的影響；在不同環境下（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個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測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團測、提醒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未提醒、分段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/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未分段）評量表現的差異。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各種提升注意力策略介入後的反應情形，包含用藥、環境調整、自我檢核策略、計時、行為契約、</w:t>
            </w:r>
            <w:proofErr w:type="gramStart"/>
            <w:r w:rsidRPr="00062990">
              <w:rPr>
                <w:rFonts w:ascii="Century Gothic" w:eastAsia="標楷體" w:hAnsi="標楷體"/>
                <w:sz w:val="18"/>
                <w:szCs w:val="18"/>
              </w:rPr>
              <w:t>感統訓練</w:t>
            </w:r>
            <w:proofErr w:type="gramEnd"/>
            <w:r w:rsidRPr="00062990">
              <w:rPr>
                <w:rFonts w:ascii="Century Gothic" w:eastAsia="標楷體" w:hAnsi="標楷體"/>
                <w:sz w:val="18"/>
                <w:szCs w:val="18"/>
              </w:rPr>
              <w:t>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Century Gothic"/>
                <w:sz w:val="18"/>
                <w:szCs w:val="18"/>
              </w:rPr>
            </w:pP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正式評量：問題行為篩選量表（</w:t>
            </w: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1-9</w:t>
            </w:r>
            <w:r w:rsidRPr="00062990">
              <w:rPr>
                <w:rFonts w:ascii="Century Gothic" w:eastAsia="標楷體" w:hAnsi="Century Gothic" w:hint="eastAsia"/>
                <w:sz w:val="18"/>
                <w:szCs w:val="18"/>
              </w:rPr>
              <w:t>題）</w:t>
            </w:r>
          </w:p>
        </w:tc>
      </w:tr>
      <w:tr w:rsidR="00062990" w:rsidRPr="00062990" w:rsidTr="00FD4FFF">
        <w:trPr>
          <w:trHeight w:val="3247"/>
        </w:trPr>
        <w:tc>
          <w:tcPr>
            <w:tcW w:w="436" w:type="dxa"/>
            <w:vAlign w:val="center"/>
          </w:tcPr>
          <w:p w:rsidR="0082470D" w:rsidRPr="007C0E73" w:rsidRDefault="007C0E73" w:rsidP="007C0E73">
            <w:pPr>
              <w:spacing w:line="240" w:lineRule="exact"/>
              <w:rPr>
                <w:rFonts w:ascii="Century Gothic" w:eastAsia="標楷體" w:hAnsi="Century Gothic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□</w:t>
            </w:r>
            <w:r w:rsidR="0082470D" w:rsidRPr="007C0E73">
              <w:rPr>
                <w:rFonts w:ascii="Century Gothic" w:eastAsia="標楷體" w:hAnsi="Century Gothic" w:hint="eastAsia"/>
                <w:sz w:val="18"/>
                <w:szCs w:val="18"/>
              </w:rPr>
              <w:t>知覺動作</w:t>
            </w:r>
          </w:p>
        </w:tc>
        <w:tc>
          <w:tcPr>
            <w:tcW w:w="5371" w:type="dxa"/>
            <w:gridSpan w:val="3"/>
          </w:tcPr>
          <w:p w:rsidR="0082470D" w:rsidRPr="00062990" w:rsidRDefault="0082470D" w:rsidP="00FD4FFF">
            <w:pPr>
              <w:pStyle w:val="Default"/>
              <w:numPr>
                <w:ilvl w:val="0"/>
                <w:numId w:val="11"/>
              </w:numPr>
              <w:snapToGrid w:val="0"/>
              <w:spacing w:beforeLines="15" w:before="54"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動作（粗大或精細）發展遲緩，例如騎三輪車或腳踏車、接球、使用刀叉、扣</w:t>
            </w:r>
            <w:proofErr w:type="gramStart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釦子</w:t>
            </w:r>
            <w:proofErr w:type="gramEnd"/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和寫字。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在需要手部操作、肢體協調的學習領域或日常活動中，出現明顯地動作緩慢、不協調、操作困難、弄不清楚左右方向或記不得環境中的方位線索等情形。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動作顯得笨拙或不自然。常撞到、溢出或打翻東西，學習新動作可能有困難。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寫字有相當困難，或是寫字的速度嚴重落後於同年齡學生。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 w:hint="eastAsia"/>
                <w:color w:val="auto"/>
                <w:sz w:val="18"/>
                <w:szCs w:val="18"/>
              </w:rPr>
              <w:t>動作非常慢，思考或反應速度很慢，活動轉換也慢，常跟不上班上甚至小組的學習活動。</w:t>
            </w:r>
          </w:p>
          <w:p w:rsidR="0082470D" w:rsidRPr="00062990" w:rsidRDefault="0082470D" w:rsidP="0061229A">
            <w:pPr>
              <w:pStyle w:val="Default"/>
              <w:numPr>
                <w:ilvl w:val="0"/>
                <w:numId w:val="11"/>
              </w:numPr>
              <w:snapToGrid w:val="0"/>
              <w:spacing w:afterLines="15" w:after="54" w:line="240" w:lineRule="exact"/>
              <w:ind w:left="284" w:hanging="284"/>
              <w:jc w:val="both"/>
              <w:rPr>
                <w:rFonts w:ascii="Century Gothic" w:eastAsia="標楷體" w:hAnsi="Century Gothic"/>
                <w:color w:val="auto"/>
                <w:sz w:val="18"/>
                <w:szCs w:val="18"/>
              </w:rPr>
            </w:pPr>
            <w:r w:rsidRPr="00062990">
              <w:rPr>
                <w:rFonts w:ascii="Century Gothic" w:eastAsia="標楷體"/>
                <w:color w:val="auto"/>
                <w:sz w:val="18"/>
                <w:szCs w:val="18"/>
              </w:rPr>
              <w:t>其他</w:t>
            </w:r>
            <w:r w:rsidRPr="00062990">
              <w:rPr>
                <w:rFonts w:ascii="Century Gothic" w:eastAsia="標楷體" w:hAnsi="Century Gothic"/>
                <w:color w:val="auto"/>
                <w:sz w:val="18"/>
                <w:szCs w:val="18"/>
                <w:u w:val="single"/>
              </w:rPr>
              <w:t xml:space="preserve">                                          </w:t>
            </w:r>
          </w:p>
        </w:tc>
        <w:tc>
          <w:tcPr>
            <w:tcW w:w="4926" w:type="dxa"/>
            <w:gridSpan w:val="2"/>
          </w:tcPr>
          <w:p w:rsidR="0082470D" w:rsidRPr="00062990" w:rsidRDefault="0082470D" w:rsidP="00FD4FFF">
            <w:pPr>
              <w:pStyle w:val="a4"/>
              <w:numPr>
                <w:ilvl w:val="0"/>
                <w:numId w:val="4"/>
              </w:numPr>
              <w:snapToGrid w:val="0"/>
              <w:spacing w:beforeLines="15" w:before="54"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IEP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能顯示個案因知覺動作困難影響聽、說、讀、寫、算的資料，如能否進行這些基本技能，延長時間能否執行，延長時間後的正確率；困難表現之詳細描述或影片；早療介入歷史（文件，職能或物理治療師針對學生的服務紀錄、評估結果）等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醫療方面職能評估以及介入證據，包括視知覺、動作精細動作評估，及相關介入。</w:t>
            </w:r>
          </w:p>
          <w:p w:rsidR="0082470D" w:rsidRPr="00062990" w:rsidRDefault="0082470D" w:rsidP="0061229A">
            <w:pPr>
              <w:pStyle w:val="a4"/>
              <w:numPr>
                <w:ilvl w:val="0"/>
                <w:numId w:val="4"/>
              </w:numPr>
              <w:snapToGrid w:val="0"/>
              <w:spacing w:afterLines="15" w:after="54" w:line="240" w:lineRule="atLeast"/>
              <w:ind w:leftChars="0" w:left="180" w:hangingChars="100" w:hanging="180"/>
              <w:jc w:val="both"/>
              <w:rPr>
                <w:rFonts w:ascii="Century Gothic" w:eastAsia="標楷體" w:hAnsi="標楷體"/>
                <w:sz w:val="18"/>
                <w:szCs w:val="18"/>
              </w:rPr>
            </w:pPr>
            <w:r w:rsidRPr="00062990">
              <w:rPr>
                <w:rFonts w:ascii="Century Gothic" w:eastAsia="標楷體" w:hAnsi="標楷體"/>
                <w:sz w:val="18"/>
                <w:szCs w:val="18"/>
              </w:rPr>
              <w:t>正式評量：拜瑞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-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布坦尼卡視覺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-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動作統整發展測驗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(VMI)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、動作協調問卷（中文版）（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DCDQ-C</w:t>
            </w:r>
            <w:r w:rsidRPr="00062990">
              <w:rPr>
                <w:rFonts w:ascii="Century Gothic" w:eastAsia="標楷體" w:hAnsi="標楷體" w:hint="eastAsia"/>
                <w:sz w:val="18"/>
                <w:szCs w:val="18"/>
              </w:rPr>
              <w:t>）、識字流暢性測驗</w:t>
            </w:r>
            <w:r w:rsidRPr="00062990">
              <w:rPr>
                <w:rFonts w:ascii="Century Gothic" w:eastAsia="標楷體" w:hAnsi="標楷體"/>
                <w:sz w:val="18"/>
                <w:szCs w:val="18"/>
              </w:rPr>
              <w:t>等。</w:t>
            </w:r>
          </w:p>
        </w:tc>
      </w:tr>
    </w:tbl>
    <w:p w:rsidR="00257A14" w:rsidRPr="00062990" w:rsidRDefault="00257A14" w:rsidP="007632F1">
      <w:pPr>
        <w:snapToGrid w:val="0"/>
        <w:jc w:val="center"/>
        <w:rPr>
          <w:rFonts w:ascii="Century Gothic" w:eastAsia="標楷體" w:hAnsi="Century Gothic"/>
          <w:b/>
          <w:sz w:val="8"/>
          <w:szCs w:val="8"/>
        </w:rPr>
      </w:pPr>
    </w:p>
    <w:sectPr w:rsidR="00257A14" w:rsidRPr="00062990" w:rsidSect="0061229A">
      <w:pgSz w:w="11906" w:h="16838"/>
      <w:pgMar w:top="567" w:right="567" w:bottom="567" w:left="567" w:header="397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790" w:rsidRDefault="00882790" w:rsidP="007E207C">
      <w:r>
        <w:separator/>
      </w:r>
    </w:p>
  </w:endnote>
  <w:endnote w:type="continuationSeparator" w:id="0">
    <w:p w:rsidR="00882790" w:rsidRDefault="00882790" w:rsidP="007E2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790" w:rsidRDefault="00882790" w:rsidP="007E207C">
      <w:r>
        <w:separator/>
      </w:r>
    </w:p>
  </w:footnote>
  <w:footnote w:type="continuationSeparator" w:id="0">
    <w:p w:rsidR="00882790" w:rsidRDefault="00882790" w:rsidP="007E2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B6D6B"/>
    <w:multiLevelType w:val="hybridMultilevel"/>
    <w:tmpl w:val="D0B2C820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AC5234"/>
    <w:multiLevelType w:val="hybridMultilevel"/>
    <w:tmpl w:val="D6503A0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5AE5E76"/>
    <w:multiLevelType w:val="hybridMultilevel"/>
    <w:tmpl w:val="2FA2E3F2"/>
    <w:lvl w:ilvl="0" w:tplc="C8365A26">
      <w:start w:val="1"/>
      <w:numFmt w:val="decimal"/>
      <w:lvlText w:val="(%1)"/>
      <w:lvlJc w:val="left"/>
      <w:pPr>
        <w:ind w:left="95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5" w:hanging="480"/>
      </w:pPr>
    </w:lvl>
    <w:lvl w:ilvl="2" w:tplc="0409001B" w:tentative="1">
      <w:start w:val="1"/>
      <w:numFmt w:val="lowerRoman"/>
      <w:lvlText w:val="%3."/>
      <w:lvlJc w:val="right"/>
      <w:pPr>
        <w:ind w:left="1915" w:hanging="480"/>
      </w:pPr>
    </w:lvl>
    <w:lvl w:ilvl="3" w:tplc="0409000F" w:tentative="1">
      <w:start w:val="1"/>
      <w:numFmt w:val="decimal"/>
      <w:lvlText w:val="%4."/>
      <w:lvlJc w:val="left"/>
      <w:pPr>
        <w:ind w:left="23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5" w:hanging="480"/>
      </w:pPr>
    </w:lvl>
    <w:lvl w:ilvl="5" w:tplc="0409001B" w:tentative="1">
      <w:start w:val="1"/>
      <w:numFmt w:val="lowerRoman"/>
      <w:lvlText w:val="%6."/>
      <w:lvlJc w:val="right"/>
      <w:pPr>
        <w:ind w:left="3355" w:hanging="480"/>
      </w:pPr>
    </w:lvl>
    <w:lvl w:ilvl="6" w:tplc="0409000F" w:tentative="1">
      <w:start w:val="1"/>
      <w:numFmt w:val="decimal"/>
      <w:lvlText w:val="%7."/>
      <w:lvlJc w:val="left"/>
      <w:pPr>
        <w:ind w:left="38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5" w:hanging="480"/>
      </w:pPr>
    </w:lvl>
    <w:lvl w:ilvl="8" w:tplc="0409001B" w:tentative="1">
      <w:start w:val="1"/>
      <w:numFmt w:val="lowerRoman"/>
      <w:lvlText w:val="%9."/>
      <w:lvlJc w:val="right"/>
      <w:pPr>
        <w:ind w:left="4795" w:hanging="480"/>
      </w:pPr>
    </w:lvl>
  </w:abstractNum>
  <w:abstractNum w:abstractNumId="3" w15:restartNumberingAfterBreak="0">
    <w:nsid w:val="23400054"/>
    <w:multiLevelType w:val="hybridMultilevel"/>
    <w:tmpl w:val="77C2AC5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44C23B6"/>
    <w:multiLevelType w:val="hybridMultilevel"/>
    <w:tmpl w:val="2CB6A8A4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3A73E26"/>
    <w:multiLevelType w:val="hybridMultilevel"/>
    <w:tmpl w:val="2BC8E598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4902388"/>
    <w:multiLevelType w:val="hybridMultilevel"/>
    <w:tmpl w:val="FBBE48D4"/>
    <w:lvl w:ilvl="0" w:tplc="65E45346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6E93572"/>
    <w:multiLevelType w:val="hybridMultilevel"/>
    <w:tmpl w:val="22D4987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3F0C00B1"/>
    <w:multiLevelType w:val="hybridMultilevel"/>
    <w:tmpl w:val="BE80D368"/>
    <w:lvl w:ilvl="0" w:tplc="6DE20D8A">
      <w:start w:val="1"/>
      <w:numFmt w:val="decimal"/>
      <w:lvlText w:val="%1."/>
      <w:lvlJc w:val="left"/>
      <w:pPr>
        <w:ind w:left="1070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308" w:hanging="480"/>
      </w:pPr>
    </w:lvl>
    <w:lvl w:ilvl="2" w:tplc="0409001B" w:tentative="1">
      <w:start w:val="1"/>
      <w:numFmt w:val="lowerRoman"/>
      <w:lvlText w:val="%3."/>
      <w:lvlJc w:val="right"/>
      <w:pPr>
        <w:ind w:left="11788" w:hanging="480"/>
      </w:pPr>
    </w:lvl>
    <w:lvl w:ilvl="3" w:tplc="0409000F" w:tentative="1">
      <w:start w:val="1"/>
      <w:numFmt w:val="decimal"/>
      <w:lvlText w:val="%4."/>
      <w:lvlJc w:val="left"/>
      <w:pPr>
        <w:ind w:left="1226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2748" w:hanging="480"/>
      </w:pPr>
    </w:lvl>
    <w:lvl w:ilvl="5" w:tplc="0409001B" w:tentative="1">
      <w:start w:val="1"/>
      <w:numFmt w:val="lowerRoman"/>
      <w:lvlText w:val="%6."/>
      <w:lvlJc w:val="right"/>
      <w:pPr>
        <w:ind w:left="13228" w:hanging="480"/>
      </w:pPr>
    </w:lvl>
    <w:lvl w:ilvl="6" w:tplc="0409000F" w:tentative="1">
      <w:start w:val="1"/>
      <w:numFmt w:val="decimal"/>
      <w:lvlText w:val="%7."/>
      <w:lvlJc w:val="left"/>
      <w:pPr>
        <w:ind w:left="1370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14188" w:hanging="480"/>
      </w:pPr>
    </w:lvl>
    <w:lvl w:ilvl="8" w:tplc="0409001B" w:tentative="1">
      <w:start w:val="1"/>
      <w:numFmt w:val="lowerRoman"/>
      <w:lvlText w:val="%9."/>
      <w:lvlJc w:val="right"/>
      <w:pPr>
        <w:ind w:left="14668" w:hanging="480"/>
      </w:pPr>
    </w:lvl>
  </w:abstractNum>
  <w:abstractNum w:abstractNumId="9" w15:restartNumberingAfterBreak="0">
    <w:nsid w:val="49BA3412"/>
    <w:multiLevelType w:val="hybridMultilevel"/>
    <w:tmpl w:val="D6BA41F6"/>
    <w:lvl w:ilvl="0" w:tplc="A3CC7C66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E8519D5"/>
    <w:multiLevelType w:val="hybridMultilevel"/>
    <w:tmpl w:val="4CC82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37D1C42"/>
    <w:multiLevelType w:val="hybridMultilevel"/>
    <w:tmpl w:val="A948CE3C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AD40BDA"/>
    <w:multiLevelType w:val="hybridMultilevel"/>
    <w:tmpl w:val="B370648E"/>
    <w:lvl w:ilvl="0" w:tplc="3E2459F0">
      <w:numFmt w:val="bullet"/>
      <w:lvlText w:val="□"/>
      <w:lvlJc w:val="left"/>
      <w:pPr>
        <w:ind w:left="480" w:hanging="48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6F14153A"/>
    <w:multiLevelType w:val="hybridMultilevel"/>
    <w:tmpl w:val="4CC82B5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75AE6A68"/>
    <w:multiLevelType w:val="hybridMultilevel"/>
    <w:tmpl w:val="A2A04532"/>
    <w:lvl w:ilvl="0" w:tplc="5A2A8F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E933337"/>
    <w:multiLevelType w:val="hybridMultilevel"/>
    <w:tmpl w:val="1CDEB62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8"/>
  </w:num>
  <w:num w:numId="4">
    <w:abstractNumId w:val="15"/>
  </w:num>
  <w:num w:numId="5">
    <w:abstractNumId w:val="0"/>
  </w:num>
  <w:num w:numId="6">
    <w:abstractNumId w:val="7"/>
  </w:num>
  <w:num w:numId="7">
    <w:abstractNumId w:val="14"/>
  </w:num>
  <w:num w:numId="8">
    <w:abstractNumId w:val="2"/>
  </w:num>
  <w:num w:numId="9">
    <w:abstractNumId w:val="5"/>
  </w:num>
  <w:num w:numId="10">
    <w:abstractNumId w:val="10"/>
  </w:num>
  <w:num w:numId="11">
    <w:abstractNumId w:val="12"/>
  </w:num>
  <w:num w:numId="12">
    <w:abstractNumId w:val="11"/>
  </w:num>
  <w:num w:numId="13">
    <w:abstractNumId w:val="3"/>
  </w:num>
  <w:num w:numId="14">
    <w:abstractNumId w:val="6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D1"/>
    <w:rsid w:val="00013EA2"/>
    <w:rsid w:val="0003461C"/>
    <w:rsid w:val="00062990"/>
    <w:rsid w:val="000A3909"/>
    <w:rsid w:val="000E3D97"/>
    <w:rsid w:val="00105489"/>
    <w:rsid w:val="00111AD3"/>
    <w:rsid w:val="0014692C"/>
    <w:rsid w:val="00166870"/>
    <w:rsid w:val="00166872"/>
    <w:rsid w:val="00193614"/>
    <w:rsid w:val="001A7F12"/>
    <w:rsid w:val="001E24C4"/>
    <w:rsid w:val="001E2F46"/>
    <w:rsid w:val="00253817"/>
    <w:rsid w:val="002573C8"/>
    <w:rsid w:val="00257A14"/>
    <w:rsid w:val="00267413"/>
    <w:rsid w:val="002D4B36"/>
    <w:rsid w:val="003805A5"/>
    <w:rsid w:val="003861E7"/>
    <w:rsid w:val="00390879"/>
    <w:rsid w:val="00394771"/>
    <w:rsid w:val="00394B88"/>
    <w:rsid w:val="0039701B"/>
    <w:rsid w:val="003B2427"/>
    <w:rsid w:val="003B2D72"/>
    <w:rsid w:val="004023D1"/>
    <w:rsid w:val="00404C75"/>
    <w:rsid w:val="00405A68"/>
    <w:rsid w:val="00430539"/>
    <w:rsid w:val="0044032B"/>
    <w:rsid w:val="00445B60"/>
    <w:rsid w:val="0048138A"/>
    <w:rsid w:val="00484366"/>
    <w:rsid w:val="0048446D"/>
    <w:rsid w:val="004919ED"/>
    <w:rsid w:val="004B4369"/>
    <w:rsid w:val="004C387F"/>
    <w:rsid w:val="004C7011"/>
    <w:rsid w:val="004D2EAF"/>
    <w:rsid w:val="004D5880"/>
    <w:rsid w:val="004E36B3"/>
    <w:rsid w:val="004E67B3"/>
    <w:rsid w:val="00504720"/>
    <w:rsid w:val="00562FCC"/>
    <w:rsid w:val="005D2E84"/>
    <w:rsid w:val="005D70AD"/>
    <w:rsid w:val="005E22A7"/>
    <w:rsid w:val="005E3FCB"/>
    <w:rsid w:val="005E77D5"/>
    <w:rsid w:val="005F41C4"/>
    <w:rsid w:val="00600ED9"/>
    <w:rsid w:val="0061229A"/>
    <w:rsid w:val="00613EF3"/>
    <w:rsid w:val="00672772"/>
    <w:rsid w:val="006A7AD8"/>
    <w:rsid w:val="006D18F0"/>
    <w:rsid w:val="00715763"/>
    <w:rsid w:val="007254D9"/>
    <w:rsid w:val="00744097"/>
    <w:rsid w:val="007545F0"/>
    <w:rsid w:val="007632F1"/>
    <w:rsid w:val="00777909"/>
    <w:rsid w:val="00784DFF"/>
    <w:rsid w:val="007C0E73"/>
    <w:rsid w:val="007E207C"/>
    <w:rsid w:val="007F4D4D"/>
    <w:rsid w:val="00806F7F"/>
    <w:rsid w:val="00820779"/>
    <w:rsid w:val="0082470D"/>
    <w:rsid w:val="00837FBF"/>
    <w:rsid w:val="00866DE1"/>
    <w:rsid w:val="00871FBF"/>
    <w:rsid w:val="0087220F"/>
    <w:rsid w:val="00882790"/>
    <w:rsid w:val="008870D8"/>
    <w:rsid w:val="008A58A7"/>
    <w:rsid w:val="008A5CB7"/>
    <w:rsid w:val="008C3C56"/>
    <w:rsid w:val="008C6B7D"/>
    <w:rsid w:val="008D3E47"/>
    <w:rsid w:val="00911500"/>
    <w:rsid w:val="00927D73"/>
    <w:rsid w:val="00940469"/>
    <w:rsid w:val="0095676F"/>
    <w:rsid w:val="00960F73"/>
    <w:rsid w:val="0096609C"/>
    <w:rsid w:val="00975368"/>
    <w:rsid w:val="00991F37"/>
    <w:rsid w:val="009A0145"/>
    <w:rsid w:val="009A2A0A"/>
    <w:rsid w:val="009C2259"/>
    <w:rsid w:val="00A03AC5"/>
    <w:rsid w:val="00A06B36"/>
    <w:rsid w:val="00A4001C"/>
    <w:rsid w:val="00A457E8"/>
    <w:rsid w:val="00A46C32"/>
    <w:rsid w:val="00A51AB3"/>
    <w:rsid w:val="00A761DB"/>
    <w:rsid w:val="00A8769F"/>
    <w:rsid w:val="00AB6516"/>
    <w:rsid w:val="00AD3A4B"/>
    <w:rsid w:val="00B11E61"/>
    <w:rsid w:val="00B1532F"/>
    <w:rsid w:val="00B17A5A"/>
    <w:rsid w:val="00B33F50"/>
    <w:rsid w:val="00B4227C"/>
    <w:rsid w:val="00B53C46"/>
    <w:rsid w:val="00B57B49"/>
    <w:rsid w:val="00BD600F"/>
    <w:rsid w:val="00BF62C6"/>
    <w:rsid w:val="00C04B4B"/>
    <w:rsid w:val="00C16CA2"/>
    <w:rsid w:val="00C67AC5"/>
    <w:rsid w:val="00C75F23"/>
    <w:rsid w:val="00C80B55"/>
    <w:rsid w:val="00CE3F80"/>
    <w:rsid w:val="00D364C1"/>
    <w:rsid w:val="00D44FC6"/>
    <w:rsid w:val="00D616FB"/>
    <w:rsid w:val="00D65393"/>
    <w:rsid w:val="00DA790F"/>
    <w:rsid w:val="00DD79A6"/>
    <w:rsid w:val="00DF0F43"/>
    <w:rsid w:val="00E0217F"/>
    <w:rsid w:val="00E23922"/>
    <w:rsid w:val="00E43ACA"/>
    <w:rsid w:val="00E7440B"/>
    <w:rsid w:val="00E87098"/>
    <w:rsid w:val="00E961A6"/>
    <w:rsid w:val="00EB120B"/>
    <w:rsid w:val="00EE29CB"/>
    <w:rsid w:val="00EE383D"/>
    <w:rsid w:val="00EF47FE"/>
    <w:rsid w:val="00F01FED"/>
    <w:rsid w:val="00F11D86"/>
    <w:rsid w:val="00F1494E"/>
    <w:rsid w:val="00F37C32"/>
    <w:rsid w:val="00F47574"/>
    <w:rsid w:val="00F50FD1"/>
    <w:rsid w:val="00F7143B"/>
    <w:rsid w:val="00F724EC"/>
    <w:rsid w:val="00F90EF1"/>
    <w:rsid w:val="00FC6511"/>
    <w:rsid w:val="00FD15D6"/>
    <w:rsid w:val="00FD4FFF"/>
    <w:rsid w:val="00FE00B6"/>
    <w:rsid w:val="00FF6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33DD8BCB-C1C7-492B-A78C-12C3D34DF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5F41C4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2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023D1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7E2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7E207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E20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E207C"/>
    <w:rPr>
      <w:sz w:val="20"/>
      <w:szCs w:val="20"/>
    </w:rPr>
  </w:style>
  <w:style w:type="paragraph" w:styleId="Web">
    <w:name w:val="Normal (Web)"/>
    <w:basedOn w:val="a"/>
    <w:rsid w:val="00193614"/>
    <w:pPr>
      <w:widowControl/>
      <w:spacing w:before="100" w:beforeAutospacing="1" w:after="100" w:afterAutospacing="1"/>
    </w:pPr>
    <w:rPr>
      <w:rFonts w:ascii="新細明體" w:eastAsia="新細明體" w:hAnsi="Times New Roman" w:cs="Times New Roman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5F41C4"/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5F41C4"/>
    <w:rPr>
      <w:color w:val="0000FF"/>
      <w:u w:val="single"/>
    </w:rPr>
  </w:style>
  <w:style w:type="paragraph" w:customStyle="1" w:styleId="Default">
    <w:name w:val="Default"/>
    <w:rsid w:val="00715763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A06B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A06B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B2440-8C42-410F-A3A5-A7F532759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497</Words>
  <Characters>2839</Characters>
  <Application>Microsoft Office Word</Application>
  <DocSecurity>0</DocSecurity>
  <Lines>23</Lines>
  <Paragraphs>6</Paragraphs>
  <ScaleCrop>false</ScaleCrop>
  <Company>Toshiba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sec704</dc:creator>
  <cp:lastModifiedBy>user</cp:lastModifiedBy>
  <cp:revision>11</cp:revision>
  <cp:lastPrinted>2015-03-11T05:44:00Z</cp:lastPrinted>
  <dcterms:created xsi:type="dcterms:W3CDTF">2019-11-28T09:19:00Z</dcterms:created>
  <dcterms:modified xsi:type="dcterms:W3CDTF">2025-11-20T01:00:00Z</dcterms:modified>
</cp:coreProperties>
</file>